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80" w:firstLineChars="300"/>
        <w:outlineLvl w:val="4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新疆能源职业技术学院听课记录单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Calibri" w:hAnsi="Calibri"/>
          <w:color w:val="auto"/>
          <w:sz w:val="24"/>
          <w:szCs w:val="24"/>
          <w:lang w:eastAsia="zh-CN"/>
        </w:rPr>
        <w:t>教师所在系（部）：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 xml:space="preserve">    教师姓名：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 xml:space="preserve"> 授课地点：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>课程名称：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 xml:space="preserve">   星期：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>第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>节  专业班级：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Calibri" w:hAnsi="Calibri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Calibri" w:hAnsi="Calibri"/>
          <w:color w:val="auto"/>
          <w:sz w:val="24"/>
          <w:szCs w:val="24"/>
          <w:u w:val="single"/>
          <w:lang w:val="en-US" w:eastAsia="zh-CN"/>
        </w:rPr>
        <w:t xml:space="preserve">    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10"/>
        <w:gridCol w:w="1985"/>
        <w:gridCol w:w="709"/>
        <w:gridCol w:w="1070"/>
        <w:gridCol w:w="1765"/>
        <w:gridCol w:w="567"/>
        <w:gridCol w:w="77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对任课教师的评价</w:t>
            </w:r>
          </w:p>
        </w:tc>
        <w:tc>
          <w:tcPr>
            <w:tcW w:w="740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评价内容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满分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Calibri"/>
                <w:color w:val="auto"/>
                <w:sz w:val="24"/>
                <w:szCs w:val="20"/>
              </w:rPr>
              <w:t>政治方向</w:t>
            </w:r>
          </w:p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Calibri"/>
                <w:color w:val="auto"/>
                <w:sz w:val="24"/>
                <w:szCs w:val="20"/>
              </w:rPr>
              <w:t>（20分）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坚持社会主义办学方向，扎根中国大地，授课内容结合最新发展，积极正面，内容健康，有助于学生形成大爱、大德、大情怀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育人内容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与课程内容有机结合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  <w:lang w:eastAsia="zh-CN"/>
              </w:rPr>
              <w:t>教学</w:t>
            </w:r>
            <w:r>
              <w:rPr>
                <w:rFonts w:hint="eastAsia" w:ascii="宋体" w:hAnsi="宋体"/>
                <w:color w:val="auto"/>
                <w:sz w:val="24"/>
                <w:szCs w:val="20"/>
              </w:rPr>
              <w:t>内容（</w:t>
            </w:r>
            <w:r>
              <w:rPr>
                <w:rFonts w:hint="eastAsia" w:ascii="宋体" w:hAnsi="宋体"/>
                <w:color w:val="auto"/>
                <w:sz w:val="24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0"/>
              </w:rPr>
              <w:t>分）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hint="eastAsia" w:ascii="宋体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教学内容丰富、熟练，用时充分，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重、难点突出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概念清晰，逻辑合理，结合实践，科学严谨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与教学日历、教学大纲内容基本一致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教学方式（3</w:t>
            </w:r>
            <w:r>
              <w:rPr>
                <w:rFonts w:hint="eastAsia" w:ascii="宋体" w:hAnsi="宋体"/>
                <w:color w:val="auto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0"/>
              </w:rPr>
              <w:t>分）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hint="eastAsia" w:ascii="宋体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国家通用语言授课，语音标准，声音宏亮，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条理清晰，逻辑性强，着装整齐，精神饱满，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上课带有教材、讲稿，讲课熟练，能够脱稿讲课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教学方法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合理，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灵活多样，符合教学内容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需要及学生实际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；体育教学合理安排学生运动量，动作示范规范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板书设计合理，合乎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规范，多媒体课件清晰，体系完整，效果好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Calibri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课堂管理（2</w:t>
            </w:r>
            <w:r>
              <w:rPr>
                <w:rFonts w:ascii="宋体" w:hAnsi="宋体"/>
                <w:color w:val="auto"/>
                <w:sz w:val="24"/>
                <w:szCs w:val="20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0"/>
              </w:rPr>
              <w:t>分）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按时上下课，认真打考勤，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课堂管理能力良好，秩序井然（需考虑单班或合班上课情况）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0"/>
              </w:rPr>
            </w:pP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学生参与度高，与教师互动良好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，学生对基本理论、技能有较好把握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0"/>
              </w:rPr>
              <w:t>教师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left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迟到时间（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）：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left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提前下课（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）：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7594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原因简述：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Calibri"/>
                <w:color w:val="auto"/>
                <w:sz w:val="24"/>
                <w:szCs w:val="20"/>
              </w:rPr>
              <w:t>对学生的评价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应到人数：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实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到人数：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到人数：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睡觉人数：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gridSpan w:val="2"/>
            <w:vMerge w:val="continue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手机人数：</w:t>
            </w:r>
          </w:p>
        </w:tc>
        <w:tc>
          <w:tcPr>
            <w:tcW w:w="5609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Calibri"/>
                <w:color w:val="auto"/>
                <w:sz w:val="21"/>
                <w:szCs w:val="21"/>
              </w:rPr>
              <w:t>对学生总</w:t>
            </w:r>
            <w:r>
              <w:rPr>
                <w:rFonts w:hint="eastAsia" w:ascii="宋体" w:hAnsi="Calibri"/>
                <w:color w:val="auto"/>
                <w:sz w:val="21"/>
                <w:szCs w:val="21"/>
                <w:lang w:eastAsia="zh-CN"/>
              </w:rPr>
              <w:t>体</w:t>
            </w:r>
            <w:r>
              <w:rPr>
                <w:rFonts w:hint="eastAsia" w:ascii="宋体" w:hAnsi="Calibri"/>
                <w:color w:val="auto"/>
                <w:sz w:val="21"/>
                <w:szCs w:val="21"/>
              </w:rPr>
              <w:t>评价（优、良、中、差）：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747" w:type="dxa"/>
            <w:gridSpan w:val="9"/>
            <w:noWrap w:val="0"/>
            <w:vAlign w:val="top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听课记录：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对课程的总体评价（含值得推荐的教学方法、不足和建议）</w:t>
            </w:r>
          </w:p>
        </w:tc>
        <w:tc>
          <w:tcPr>
            <w:tcW w:w="7594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  <w:p>
            <w:pPr>
              <w:autoSpaceDN w:val="0"/>
              <w:spacing w:line="400" w:lineRule="exact"/>
              <w:ind w:firstLine="0" w:firstLineChars="0"/>
              <w:jc w:val="both"/>
              <w:textAlignment w:val="center"/>
              <w:rPr>
                <w:rFonts w:ascii="宋体" w:hAnsi="Calibri"/>
                <w:color w:val="auto"/>
                <w:sz w:val="24"/>
                <w:szCs w:val="20"/>
              </w:rPr>
            </w:pPr>
          </w:p>
        </w:tc>
      </w:tr>
    </w:tbl>
    <w:p>
      <w:pPr>
        <w:spacing w:line="40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听课人签名：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听课日期：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jUyYzBlOWRlNGM0NGU4YzU2MzRiYjU0NDQ2YzIifQ=="/>
  </w:docVars>
  <w:rsids>
    <w:rsidRoot w:val="00251B5A"/>
    <w:rsid w:val="002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Lines="0" w:beforeAutospacing="1" w:after="0" w:afterLines="0"/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2022-11-28T10:01:00Z</dcterms:created>
  <dc:creator>仇利利</dc:creator>
  <cp:lastModifiedBy>仇利利</cp:lastModifiedBy>
  <dcterms:modified xsi:type="dcterms:W3CDTF">2022-11-28T10:01:40Z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42F39809F4164DAC8E38D92618F25D0F</vt:lpwstr>
  </property>
</Properties>
</file>